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9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1505"/>
        <w:gridCol w:w="1668"/>
        <w:gridCol w:w="1667"/>
        <w:gridCol w:w="1668"/>
        <w:gridCol w:w="1667"/>
        <w:gridCol w:w="1668"/>
        <w:gridCol w:w="1667"/>
        <w:gridCol w:w="1668"/>
        <w:gridCol w:w="1667"/>
        <w:gridCol w:w="1668"/>
        <w:gridCol w:w="1667"/>
      </w:tblGrid>
      <w:tr w:rsidR="00B764BF" w14:paraId="556C1DE2" w14:textId="658D4624" w:rsidTr="00B764BF">
        <w:tc>
          <w:tcPr>
            <w:tcW w:w="1260" w:type="dxa"/>
          </w:tcPr>
          <w:p w14:paraId="7C5161EC" w14:textId="3CFF00AC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B5360F">
              <w:rPr>
                <w:b/>
                <w:color w:val="FF0000"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2BC6406" w:rsidR="00B764BF" w:rsidRDefault="00B764BF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56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B764BF" w:rsidRDefault="00B764BF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B764BF" w:rsidRPr="005F07C1" w:rsidRDefault="00B764BF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proofErr w:type="gramStart"/>
            <w:r w:rsidRPr="005F07C1">
              <w:rPr>
                <w:sz w:val="20"/>
                <w:szCs w:val="20"/>
              </w:rPr>
              <w:t>councillors</w:t>
            </w:r>
            <w:proofErr w:type="gramEnd"/>
            <w:r w:rsidRPr="005F07C1">
              <w:rPr>
                <w:sz w:val="20"/>
                <w:szCs w:val="20"/>
              </w:rPr>
              <w:t xml:space="preserve">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05" w:type="dxa"/>
          </w:tcPr>
          <w:p w14:paraId="32B7AAF6" w14:textId="77777777" w:rsidR="00B764BF" w:rsidRDefault="00B764BF" w:rsidP="002D4069">
            <w:pPr>
              <w:jc w:val="center"/>
              <w:rPr>
                <w:b/>
                <w:sz w:val="20"/>
                <w:szCs w:val="20"/>
              </w:rPr>
            </w:pPr>
            <w:r w:rsidRPr="00B5360F">
              <w:rPr>
                <w:b/>
                <w:color w:val="FF0000"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4B266EA4" w14:textId="77777777" w:rsidR="00B764BF" w:rsidRDefault="00B764BF" w:rsidP="002D4069">
            <w:pPr>
              <w:jc w:val="center"/>
              <w:rPr>
                <w:b/>
                <w:sz w:val="20"/>
                <w:szCs w:val="20"/>
              </w:rPr>
            </w:pPr>
          </w:p>
          <w:p w14:paraId="1C6F6A2A" w14:textId="35761C17" w:rsidR="00B764BF" w:rsidRDefault="00B764BF" w:rsidP="002D4069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</w:t>
            </w:r>
            <w:r>
              <w:rPr>
                <w:b/>
                <w:sz w:val="20"/>
                <w:szCs w:val="20"/>
              </w:rPr>
              <w:t>52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794885E7" w14:textId="77777777" w:rsidR="00B764BF" w:rsidRDefault="00B764BF" w:rsidP="002D4069">
            <w:pPr>
              <w:jc w:val="center"/>
              <w:rPr>
                <w:sz w:val="20"/>
                <w:szCs w:val="20"/>
              </w:rPr>
            </w:pPr>
          </w:p>
          <w:p w14:paraId="742E4BD9" w14:textId="52A09126" w:rsidR="00B764BF" w:rsidRPr="00033EFD" w:rsidRDefault="00B764BF" w:rsidP="002D4069">
            <w:pPr>
              <w:jc w:val="center"/>
              <w:rPr>
                <w:bCs/>
                <w:sz w:val="20"/>
                <w:szCs w:val="20"/>
              </w:rPr>
            </w:pPr>
            <w:r w:rsidRPr="00033EFD">
              <w:rPr>
                <w:bCs/>
                <w:sz w:val="20"/>
                <w:szCs w:val="20"/>
              </w:rPr>
              <w:t>Payments for costs incurred in respect of telephone, broadband etc.</w:t>
            </w:r>
          </w:p>
        </w:tc>
        <w:tc>
          <w:tcPr>
            <w:tcW w:w="1668" w:type="dxa"/>
          </w:tcPr>
          <w:p w14:paraId="62CB1161" w14:textId="2A86105B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B764BF" w:rsidRDefault="00B764BF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B764BF" w:rsidRPr="005F07C1" w:rsidRDefault="00B764B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667" w:type="dxa"/>
          </w:tcPr>
          <w:p w14:paraId="461C0BF8" w14:textId="77777777" w:rsidR="00B764BF" w:rsidRPr="001943AE" w:rsidRDefault="00B764B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hair  or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B764BF" w:rsidRPr="001943AE" w:rsidRDefault="00B76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668" w:type="dxa"/>
          </w:tcPr>
          <w:p w14:paraId="37B7221D" w14:textId="77777777" w:rsidR="00B764BF" w:rsidRDefault="00B764BF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B764BF" w:rsidRDefault="00B764BF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B764BF" w:rsidRPr="001943AE" w:rsidRDefault="00B764BF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B764BF" w:rsidRPr="001943AE" w:rsidRDefault="00B76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667" w:type="dxa"/>
          </w:tcPr>
          <w:p w14:paraId="26D14843" w14:textId="7FD8A78D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033EFD">
              <w:rPr>
                <w:b/>
                <w:color w:val="FF0000"/>
                <w:sz w:val="20"/>
                <w:szCs w:val="20"/>
              </w:rPr>
              <w:t xml:space="preserve">TOTAL </w:t>
            </w: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668" w:type="dxa"/>
          </w:tcPr>
          <w:p w14:paraId="45CE0104" w14:textId="38B0EBFC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033EFD">
              <w:rPr>
                <w:b/>
                <w:color w:val="FF0000"/>
                <w:sz w:val="20"/>
                <w:szCs w:val="20"/>
              </w:rPr>
              <w:t xml:space="preserve">TOTAL </w:t>
            </w: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10F07149" w14:textId="5FA89371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033EFD">
              <w:rPr>
                <w:b/>
                <w:color w:val="FF0000"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B764BF" w:rsidRDefault="00B764BF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B764BF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B764BF" w:rsidRPr="001943AE" w:rsidRDefault="00B764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668" w:type="dxa"/>
          </w:tcPr>
          <w:p w14:paraId="536972DF" w14:textId="0CAA8800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033EFD">
              <w:rPr>
                <w:b/>
                <w:color w:val="FF0000"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1667" w:type="dxa"/>
          </w:tcPr>
          <w:p w14:paraId="3FAF8177" w14:textId="4E74017A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668" w:type="dxa"/>
          </w:tcPr>
          <w:p w14:paraId="4B068D6B" w14:textId="77777777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667" w:type="dxa"/>
          </w:tcPr>
          <w:p w14:paraId="20BC9FB1" w14:textId="1DD8B67F" w:rsidR="00B764BF" w:rsidRPr="001943AE" w:rsidRDefault="00B764BF" w:rsidP="007529AE">
            <w:pPr>
              <w:jc w:val="center"/>
              <w:rPr>
                <w:b/>
                <w:sz w:val="20"/>
                <w:szCs w:val="20"/>
              </w:rPr>
            </w:pPr>
            <w:r w:rsidRPr="00614EC3">
              <w:rPr>
                <w:b/>
                <w:color w:val="FF0000"/>
                <w:sz w:val="20"/>
                <w:szCs w:val="20"/>
              </w:rPr>
              <w:t xml:space="preserve">TOTAL </w:t>
            </w:r>
            <w:r w:rsidRPr="00614EC3">
              <w:rPr>
                <w:b/>
                <w:sz w:val="20"/>
                <w:szCs w:val="20"/>
              </w:rPr>
              <w:t>NUMBER OF COUNCILLORS declined £156 allowance - for costs incurred in respect of working from home</w:t>
            </w:r>
          </w:p>
        </w:tc>
      </w:tr>
      <w:tr w:rsidR="00B764BF" w14:paraId="6C00437D" w14:textId="77777777" w:rsidTr="00B764BF">
        <w:trPr>
          <w:trHeight w:val="315"/>
        </w:trPr>
        <w:tc>
          <w:tcPr>
            <w:tcW w:w="1260" w:type="dxa"/>
          </w:tcPr>
          <w:p w14:paraId="4E0522A7" w14:textId="77777777" w:rsidR="00B764BF" w:rsidRDefault="00B764BF" w:rsidP="00B764BF">
            <w:pPr>
              <w:rPr>
                <w:sz w:val="20"/>
                <w:szCs w:val="20"/>
              </w:rPr>
            </w:pPr>
          </w:p>
          <w:p w14:paraId="2EE372EE" w14:textId="69B8F5A0" w:rsidR="00B764BF" w:rsidRDefault="00B764BF" w:rsidP="00B764BF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</w:tcPr>
          <w:p w14:paraId="66BCF138" w14:textId="1D05EF5F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797EEC99" w14:textId="77777777" w:rsidR="00B764BF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1547A212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78214302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2F14A5F4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462F4FCA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14:paraId="2014E388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5C69A881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5C723D5F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14:paraId="25A93D8E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</w:tcPr>
          <w:p w14:paraId="68AB3478" w14:textId="77777777" w:rsidR="00B764BF" w:rsidRPr="006530A0" w:rsidRDefault="00B764BF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B764BF" w14:paraId="506669A1" w14:textId="7E9A1354" w:rsidTr="00B764BF">
        <w:tc>
          <w:tcPr>
            <w:tcW w:w="1260" w:type="dxa"/>
          </w:tcPr>
          <w:p w14:paraId="54EF54CC" w14:textId="6A6F3388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£285.48</w:t>
            </w:r>
          </w:p>
        </w:tc>
        <w:tc>
          <w:tcPr>
            <w:tcW w:w="1505" w:type="dxa"/>
          </w:tcPr>
          <w:p w14:paraId="14782DE7" w14:textId="1D1C78B4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£24.99</w:t>
            </w:r>
          </w:p>
        </w:tc>
        <w:tc>
          <w:tcPr>
            <w:tcW w:w="1668" w:type="dxa"/>
          </w:tcPr>
          <w:p w14:paraId="7C94F80A" w14:textId="77B3E54C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79FC80FB" w14:textId="15CF6B8D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66ED0602" w14:textId="515DC53B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2E0C5910" w14:textId="15644D71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2AC18897" w14:textId="684F550C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£21.20</w:t>
            </w:r>
          </w:p>
        </w:tc>
        <w:tc>
          <w:tcPr>
            <w:tcW w:w="1667" w:type="dxa"/>
          </w:tcPr>
          <w:p w14:paraId="5DA1D129" w14:textId="0DEDE47D" w:rsidR="00B764BF" w:rsidRDefault="00B764BF" w:rsidP="00B764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6C076799" w14:textId="7A633F36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23E1F69A" w14:textId="4C7CF679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8" w:type="dxa"/>
          </w:tcPr>
          <w:p w14:paraId="2EBE2A38" w14:textId="71086389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667" w:type="dxa"/>
          </w:tcPr>
          <w:p w14:paraId="579F26BE" w14:textId="467EAE63" w:rsidR="00B764BF" w:rsidRDefault="00B764BF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</w:t>
            </w:r>
          </w:p>
        </w:tc>
      </w:tr>
    </w:tbl>
    <w:p w14:paraId="03EF23AD" w14:textId="77777777" w:rsidR="00CA0676" w:rsidRDefault="00CA0676"/>
    <w:sectPr w:rsidR="00CA0676" w:rsidSect="00F03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4C8F4" w14:textId="77777777" w:rsidR="00CB130C" w:rsidRDefault="00CB130C" w:rsidP="007E64DC">
      <w:r>
        <w:separator/>
      </w:r>
    </w:p>
  </w:endnote>
  <w:endnote w:type="continuationSeparator" w:id="0">
    <w:p w14:paraId="6EC4DE2E" w14:textId="77777777" w:rsidR="00CB130C" w:rsidRDefault="00CB130C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CFE0B" w14:textId="77777777" w:rsidR="00B764BF" w:rsidRDefault="00B76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92D3" w14:textId="77777777" w:rsidR="00CA0676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7233" w14:textId="77777777" w:rsidR="00B764BF" w:rsidRDefault="00B76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0FB2D" w14:textId="77777777" w:rsidR="00CB130C" w:rsidRDefault="00CB130C" w:rsidP="007E64DC">
      <w:r>
        <w:separator/>
      </w:r>
    </w:p>
  </w:footnote>
  <w:footnote w:type="continuationSeparator" w:id="0">
    <w:p w14:paraId="3F79F514" w14:textId="77777777" w:rsidR="00CB130C" w:rsidRDefault="00CB130C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54BC2" w14:textId="77777777" w:rsidR="00B764BF" w:rsidRDefault="00B76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5E59" w14:textId="38D8E857" w:rsidR="00405A85" w:rsidRPr="00405A85" w:rsidRDefault="007C698C" w:rsidP="00405A85">
    <w:pPr>
      <w:jc w:val="center"/>
      <w:rPr>
        <w:b/>
        <w:bCs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</w:t>
    </w:r>
    <w:r w:rsidR="00B764BF">
      <w:rPr>
        <w:b/>
        <w:color w:val="FF0000"/>
        <w:u w:val="single"/>
      </w:rPr>
      <w:t xml:space="preserve">MARSHFIELD COMMUNITY </w:t>
    </w:r>
    <w:r w:rsidR="00B764BF">
      <w:rPr>
        <w:b/>
        <w:color w:val="FF0000"/>
        <w:u w:val="single"/>
      </w:rPr>
      <w:t>COUNICL</w:t>
    </w:r>
  </w:p>
  <w:p w14:paraId="753E6D22" w14:textId="1F7ACE28" w:rsidR="00CA0676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577C7E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577C7E">
      <w:rPr>
        <w:b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F6D1D" w14:textId="77777777" w:rsidR="00B764BF" w:rsidRDefault="00B76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33EFD"/>
    <w:rsid w:val="0004051E"/>
    <w:rsid w:val="0006162B"/>
    <w:rsid w:val="00092DE2"/>
    <w:rsid w:val="000D3F6F"/>
    <w:rsid w:val="0011419E"/>
    <w:rsid w:val="0018658D"/>
    <w:rsid w:val="00203558"/>
    <w:rsid w:val="002D0DB2"/>
    <w:rsid w:val="002D4069"/>
    <w:rsid w:val="00301647"/>
    <w:rsid w:val="003144DD"/>
    <w:rsid w:val="00405A85"/>
    <w:rsid w:val="00407C34"/>
    <w:rsid w:val="004761EC"/>
    <w:rsid w:val="00480BE8"/>
    <w:rsid w:val="00483202"/>
    <w:rsid w:val="004B09DD"/>
    <w:rsid w:val="00541DB9"/>
    <w:rsid w:val="00577C7E"/>
    <w:rsid w:val="005B60A5"/>
    <w:rsid w:val="005C3907"/>
    <w:rsid w:val="005C449B"/>
    <w:rsid w:val="005D57D3"/>
    <w:rsid w:val="005F07C1"/>
    <w:rsid w:val="00614EC3"/>
    <w:rsid w:val="00687D9C"/>
    <w:rsid w:val="006A6037"/>
    <w:rsid w:val="006F0C53"/>
    <w:rsid w:val="007678EE"/>
    <w:rsid w:val="00770324"/>
    <w:rsid w:val="00797741"/>
    <w:rsid w:val="007C698C"/>
    <w:rsid w:val="007E64DC"/>
    <w:rsid w:val="00807E44"/>
    <w:rsid w:val="00835DF6"/>
    <w:rsid w:val="008635E7"/>
    <w:rsid w:val="008767DF"/>
    <w:rsid w:val="00880876"/>
    <w:rsid w:val="00956AE6"/>
    <w:rsid w:val="009B7B83"/>
    <w:rsid w:val="009F680D"/>
    <w:rsid w:val="00A157C2"/>
    <w:rsid w:val="00A313C1"/>
    <w:rsid w:val="00A55188"/>
    <w:rsid w:val="00A73742"/>
    <w:rsid w:val="00A84032"/>
    <w:rsid w:val="00A959BE"/>
    <w:rsid w:val="00B5360F"/>
    <w:rsid w:val="00B63441"/>
    <w:rsid w:val="00B764BF"/>
    <w:rsid w:val="00BA295D"/>
    <w:rsid w:val="00BB1E7D"/>
    <w:rsid w:val="00C77249"/>
    <w:rsid w:val="00CA0676"/>
    <w:rsid w:val="00CB130C"/>
    <w:rsid w:val="00D206D7"/>
    <w:rsid w:val="00D20B12"/>
    <w:rsid w:val="00D60D06"/>
    <w:rsid w:val="00D75F3A"/>
    <w:rsid w:val="00DB4168"/>
    <w:rsid w:val="00DD2D22"/>
    <w:rsid w:val="00DD44DC"/>
    <w:rsid w:val="00DD679D"/>
    <w:rsid w:val="00E03B1C"/>
    <w:rsid w:val="00E04FFF"/>
    <w:rsid w:val="00E60F97"/>
    <w:rsid w:val="00E6285D"/>
    <w:rsid w:val="00F03A85"/>
    <w:rsid w:val="00F3066E"/>
    <w:rsid w:val="00F721D1"/>
    <w:rsid w:val="00F92606"/>
    <w:rsid w:val="00F92835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A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05A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A55864874</value>
    </field>
    <field name="Objective-Title">
      <value order="0">NEW Statement of Payments - Community &amp; Town Councils 2023 - 2024</value>
    </field>
    <field name="Objective-Description">
      <value order="0"/>
    </field>
    <field name="Objective-CreationStamp">
      <value order="0">2024-11-21T15:52:26Z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2024-11-21T15:53:08Z</value>
    </field>
    <field name="Objective-Owner">
      <value order="0">Rees, Sara (LGHCCRA - Local Government - Local Government Policy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</value>
    </field>
    <field name="Objective-Parent">
      <value order="0">Template Compliance Pro Formas</value>
    </field>
    <field name="Objective-State">
      <value order="0">Being Drafted</value>
    </field>
    <field name="Objective-VersionId">
      <value order="0">vA101570279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qA1524640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Gerald Thomas</cp:lastModifiedBy>
  <cp:revision>2</cp:revision>
  <dcterms:created xsi:type="dcterms:W3CDTF">2024-12-09T08:26:00Z</dcterms:created>
  <dcterms:modified xsi:type="dcterms:W3CDTF">2024-12-09T08:26:00Z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A55864874</vt:lpwstr>
  </property>
  <property fmtid="{D5CDD505-2E9C-101B-9397-08002B2CF9AE}" pid="4" name="Objective-Title">
    <vt:lpwstr>NEW Statement of Payments - Community &amp; Town Councils 2023 - 2024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2024-11-21T15:52:26Z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2024-11-21T15:53:08Z</vt:filetime>
  </property>
  <property fmtid="{D5CDD505-2E9C-101B-9397-08002B2CF9AE}" pid="11" name="Objective-Owner">
    <vt:lpwstr>Rees, Sara (LGHCCRA - Local Government - Local Government Policy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Local Government - Local Government Policy:1 - Save:Subject Matter Files:Sponsored / Arm's Length Bodies:Independent Remuneration Panel for Wales:Local Government Policy - Independent Remuneration Panel for Wales - Compliance - 2022-2027:Template Compliance Pro Formas:</vt:lpwstr>
  </property>
  <property fmtid="{D5CDD505-2E9C-101B-9397-08002B2CF9AE}" pid="13" name="Objective-Parent">
    <vt:lpwstr>Template Compliance Pro Formas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vA101570279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